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56216" w14:textId="62E8FA77" w:rsidR="00CB211A" w:rsidRPr="00977140" w:rsidRDefault="00977140" w:rsidP="00CB211A">
      <w:pPr>
        <w:rPr>
          <w:b/>
          <w:u w:val="single"/>
        </w:rPr>
      </w:pPr>
      <w:bookmarkStart w:id="0" w:name="4d34og8" w:colFirst="0" w:colLast="0"/>
      <w:bookmarkStart w:id="1" w:name="2s8eyo1" w:colFirst="0" w:colLast="0"/>
      <w:bookmarkEnd w:id="0"/>
      <w:bookmarkEnd w:id="1"/>
      <w:r w:rsidRPr="00977140">
        <w:rPr>
          <w:b/>
          <w:u w:val="single"/>
        </w:rPr>
        <w:t>Supplementary File 1</w:t>
      </w:r>
    </w:p>
    <w:p w14:paraId="5830E9B7" w14:textId="77777777" w:rsidR="00CB211A" w:rsidRPr="00977140" w:rsidRDefault="00CB211A" w:rsidP="00CB211A">
      <w:pPr>
        <w:pBdr>
          <w:top w:val="nil"/>
          <w:left w:val="nil"/>
          <w:bottom w:val="nil"/>
          <w:right w:val="nil"/>
          <w:between w:val="nil"/>
        </w:pBdr>
      </w:pPr>
    </w:p>
    <w:p w14:paraId="4DBE57E3" w14:textId="6E27904E" w:rsidR="00CB211A" w:rsidRPr="00977140" w:rsidRDefault="00CB211A" w:rsidP="00CB211A">
      <w:pPr>
        <w:rPr>
          <w:b/>
          <w:bCs/>
        </w:rPr>
      </w:pPr>
      <w:r w:rsidRPr="00977140">
        <w:rPr>
          <w:b/>
          <w:bCs/>
        </w:rPr>
        <w:t>Design and lead weight testing for remote ischemia-reperfusion injury</w:t>
      </w:r>
    </w:p>
    <w:p w14:paraId="6BB1C0A2" w14:textId="33280E48" w:rsidR="00CB211A" w:rsidRPr="00977140" w:rsidRDefault="00CB211A" w:rsidP="00CB211A">
      <w:r w:rsidRPr="00977140">
        <w:t>Lead weights have been selected to keep traction on the sutures during inflation and deflation. The advantage of this open chain system is that t</w:t>
      </w:r>
      <w:r w:rsidR="001371B0">
        <w:t>oo extensive pressure cannot be exerted</w:t>
      </w:r>
      <w:r w:rsidRPr="00977140">
        <w:t xml:space="preserve"> on the LAD as this depends on the weight of the lead.</w:t>
      </w:r>
      <w:r w:rsidR="00977140">
        <w:t xml:space="preserve"> </w:t>
      </w:r>
      <w:r w:rsidRPr="00977140">
        <w:t xml:space="preserve">Therefore, </w:t>
      </w:r>
      <w:r w:rsidRPr="00977140">
        <w:rPr>
          <w:i/>
          <w:iCs/>
        </w:rPr>
        <w:t>ex-vivo</w:t>
      </w:r>
      <w:r w:rsidRPr="00977140">
        <w:t xml:space="preserve"> testing using a spring balance dynamometer has been performed. The dynamometer was connected to the remote IRI setup and tested with various weights. The same dynamometer was then tested with the original pulley system</w:t>
      </w:r>
      <w:r w:rsidRPr="00977140">
        <w:rPr>
          <w:vertAlign w:val="superscript"/>
        </w:rPr>
        <w:t>1</w:t>
      </w:r>
      <w:r w:rsidRPr="00977140">
        <w:t>. The original pulley system used a weight of 4 grams on both sides to induce ischemia. This correlated with a weight of 2.1 g of lead in the proposed remote IRI tool</w:t>
      </w:r>
      <w:r w:rsidR="00254683" w:rsidRPr="00977140">
        <w:t xml:space="preserve"> (</w:t>
      </w:r>
      <w:r w:rsidR="00254683" w:rsidRPr="001371B0">
        <w:rPr>
          <w:b/>
          <w:bCs/>
        </w:rPr>
        <w:t>Supp</w:t>
      </w:r>
      <w:r w:rsidR="001371B0" w:rsidRPr="001371B0">
        <w:rPr>
          <w:b/>
          <w:bCs/>
        </w:rPr>
        <w:t>lementary</w:t>
      </w:r>
      <w:r w:rsidR="00254683" w:rsidRPr="001371B0">
        <w:rPr>
          <w:b/>
          <w:bCs/>
        </w:rPr>
        <w:t xml:space="preserve"> Fig</w:t>
      </w:r>
      <w:r w:rsidR="001371B0" w:rsidRPr="001371B0">
        <w:rPr>
          <w:b/>
          <w:bCs/>
        </w:rPr>
        <w:t>ure</w:t>
      </w:r>
      <w:r w:rsidR="00254683" w:rsidRPr="001371B0">
        <w:rPr>
          <w:b/>
          <w:bCs/>
        </w:rPr>
        <w:t xml:space="preserve"> 1</w:t>
      </w:r>
      <w:r w:rsidR="00254683" w:rsidRPr="00977140">
        <w:t>)</w:t>
      </w:r>
      <w:r w:rsidR="00055AC9" w:rsidRPr="00977140">
        <w:t>.</w:t>
      </w:r>
    </w:p>
    <w:p w14:paraId="0A67BF8F" w14:textId="77777777" w:rsidR="00254683" w:rsidRPr="00977140" w:rsidRDefault="00254683" w:rsidP="00CB211A"/>
    <w:p w14:paraId="0F5FF562" w14:textId="03008F1B" w:rsidR="00254683" w:rsidRPr="00977140" w:rsidRDefault="00254683" w:rsidP="00CB211A">
      <w:r w:rsidRPr="00977140">
        <w:t xml:space="preserve">A 500 mm x 300 mm polymethyl methacrylate (PMMA) plate with </w:t>
      </w:r>
      <w:r w:rsidR="00186D99">
        <w:t xml:space="preserve">a </w:t>
      </w:r>
      <w:r w:rsidRPr="00977140">
        <w:t xml:space="preserve">thickness of 2 mm is used as </w:t>
      </w:r>
      <w:r w:rsidR="00186D99">
        <w:t xml:space="preserve">the </w:t>
      </w:r>
      <w:r w:rsidRPr="00977140">
        <w:t xml:space="preserve">base material for the construction of the tool. </w:t>
      </w:r>
      <w:r w:rsidR="00186D99">
        <w:t>The b</w:t>
      </w:r>
      <w:r w:rsidRPr="00977140">
        <w:t>ase plate and side vertical plate were cut with a laser cutter based on the measurements provided. The presented design allows easy adjustments to the tool based on the PMMA thickness (measurements X and Y) and the length of the balloon catheter (number, size</w:t>
      </w:r>
      <w:r w:rsidR="00186D99">
        <w:t>,</w:t>
      </w:r>
      <w:r w:rsidRPr="00977140">
        <w:t xml:space="preserve"> and spacing of the balloon anchor points)</w:t>
      </w:r>
      <w:r w:rsidR="00186D99">
        <w:t xml:space="preserve"> </w:t>
      </w:r>
      <w:r w:rsidR="00055AC9" w:rsidRPr="00977140">
        <w:t>(</w:t>
      </w:r>
      <w:r w:rsidR="00186D99" w:rsidRPr="001371B0">
        <w:rPr>
          <w:b/>
          <w:bCs/>
        </w:rPr>
        <w:t xml:space="preserve">Supplementary Figure </w:t>
      </w:r>
      <w:r w:rsidR="00186D99">
        <w:rPr>
          <w:b/>
          <w:bCs/>
        </w:rPr>
        <w:t>2</w:t>
      </w:r>
      <w:r w:rsidR="00055AC9" w:rsidRPr="00977140">
        <w:t>).</w:t>
      </w:r>
    </w:p>
    <w:p w14:paraId="1D37F034" w14:textId="77777777" w:rsidR="00CB211A" w:rsidRPr="00977140" w:rsidRDefault="00CB211A" w:rsidP="00CB211A"/>
    <w:p w14:paraId="4B60AF51" w14:textId="5E15E0EB" w:rsidR="00CB211A" w:rsidRPr="00977140" w:rsidRDefault="00CB211A" w:rsidP="00CB211A">
      <w:pPr>
        <w:rPr>
          <w:b/>
          <w:bCs/>
        </w:rPr>
      </w:pPr>
      <w:r w:rsidRPr="00824F98">
        <w:rPr>
          <w:b/>
          <w:bCs/>
          <w:i/>
          <w:iCs/>
        </w:rPr>
        <w:t>In vivo</w:t>
      </w:r>
      <w:r w:rsidRPr="00977140">
        <w:rPr>
          <w:b/>
          <w:bCs/>
        </w:rPr>
        <w:t xml:space="preserve"> MRI setup</w:t>
      </w:r>
    </w:p>
    <w:p w14:paraId="57328E51" w14:textId="7F292D5B" w:rsidR="00CB211A" w:rsidRPr="00977140" w:rsidRDefault="00CB211A" w:rsidP="00CB211A">
      <w:r w:rsidRPr="00977140">
        <w:t>Anesthesia was induced with 3% isoflurane in 100% O</w:t>
      </w:r>
      <w:r w:rsidRPr="00977140">
        <w:rPr>
          <w:vertAlign w:val="subscript"/>
        </w:rPr>
        <w:t>2</w:t>
      </w:r>
      <w:r w:rsidRPr="00977140">
        <w:t xml:space="preserve"> in an induction chamber, followed by maintenance at 1.5</w:t>
      </w:r>
      <w:r w:rsidR="00824F98">
        <w:t>%</w:t>
      </w:r>
      <w:r w:rsidRPr="00977140">
        <w:t xml:space="preserve">–2% isoflurane at 1.5 </w:t>
      </w:r>
      <w:r w:rsidR="00824F98">
        <w:t>L</w:t>
      </w:r>
      <w:r w:rsidRPr="00977140">
        <w:t>/min O</w:t>
      </w:r>
      <w:r w:rsidRPr="00977140">
        <w:rPr>
          <w:vertAlign w:val="subscript"/>
        </w:rPr>
        <w:t>2</w:t>
      </w:r>
      <w:r w:rsidRPr="00977140">
        <w:t xml:space="preserve"> </w:t>
      </w:r>
      <w:r w:rsidRPr="00824F98">
        <w:rPr>
          <w:i/>
          <w:iCs/>
        </w:rPr>
        <w:t>via</w:t>
      </w:r>
      <w:r w:rsidRPr="00977140">
        <w:t xml:space="preserve"> nose cone. Mice were positioned supine in a purpose-built cradle and secured with surgical tape. Body temperature, respiration, and cardiac rate were monitored and maintained at 36</w:t>
      </w:r>
      <w:r w:rsidR="00824F98">
        <w:t>–</w:t>
      </w:r>
      <w:r w:rsidRPr="00977140">
        <w:t>37 °C, 70</w:t>
      </w:r>
      <w:r w:rsidR="00824F98">
        <w:t>–</w:t>
      </w:r>
      <w:r w:rsidRPr="00977140">
        <w:t>100 min</w:t>
      </w:r>
      <w:r w:rsidRPr="00977140">
        <w:rPr>
          <w:vertAlign w:val="superscript"/>
        </w:rPr>
        <w:t>-1</w:t>
      </w:r>
      <w:r w:rsidRPr="00977140">
        <w:t>, and 450</w:t>
      </w:r>
      <w:r w:rsidR="00824F98">
        <w:t>–</w:t>
      </w:r>
      <w:r w:rsidRPr="00977140">
        <w:t>600 min</w:t>
      </w:r>
      <w:r w:rsidRPr="00977140">
        <w:rPr>
          <w:vertAlign w:val="superscript"/>
        </w:rPr>
        <w:t>-1</w:t>
      </w:r>
      <w:r w:rsidRPr="00977140">
        <w:t xml:space="preserve">, respectively. </w:t>
      </w:r>
      <w:r w:rsidR="00824F98">
        <w:t>The c</w:t>
      </w:r>
      <w:r w:rsidRPr="00977140">
        <w:t>ore temperature was maintained with warm water in a closed circuit within the cradle. ECG signal was derived from needles inserted subcutaneously in the front paws. Respiratory monitoring was performed with a balloon pressure</w:t>
      </w:r>
      <w:r w:rsidR="00824F98">
        <w:t xml:space="preserve"> </w:t>
      </w:r>
      <w:r w:rsidRPr="00977140">
        <w:t xml:space="preserve">transducer positioned </w:t>
      </w:r>
      <w:r w:rsidR="00824F98">
        <w:t>on</w:t>
      </w:r>
      <w:r w:rsidRPr="00977140">
        <w:t xml:space="preserve"> the animal's abdomen</w:t>
      </w:r>
      <w:r w:rsidR="00824F98">
        <w:t>,</w:t>
      </w:r>
      <w:r w:rsidRPr="00977140">
        <w:t xml:space="preserve"> and temperature monitoring was performed with a rectal temperature probe. Cardio-respiratory monitoring was performed using an MR-compatible system.</w:t>
      </w:r>
    </w:p>
    <w:p w14:paraId="498A95BD" w14:textId="77777777" w:rsidR="00CB211A" w:rsidRPr="00977140" w:rsidRDefault="00CB211A" w:rsidP="00CB211A"/>
    <w:p w14:paraId="649F451B" w14:textId="77777777" w:rsidR="00CB211A" w:rsidRPr="003F64CC" w:rsidRDefault="00CB211A" w:rsidP="00CB211A">
      <w:r w:rsidRPr="00977140">
        <w:rPr>
          <w:b/>
          <w:bCs/>
        </w:rPr>
        <w:t xml:space="preserve">LGE CMR </w:t>
      </w:r>
      <w:r w:rsidRPr="003F64CC">
        <w:t>Image Acquisition</w:t>
      </w:r>
    </w:p>
    <w:p w14:paraId="4D2B07A8" w14:textId="43423308" w:rsidR="00CB211A" w:rsidRPr="00977140" w:rsidRDefault="00CB211A" w:rsidP="00CB211A">
      <w:r w:rsidRPr="00977140">
        <w:t>MRI experiments were performed on a 7T small animal MRI system equipped with actively shielded gradients (200 mT/m). A</w:t>
      </w:r>
      <w:r w:rsidR="003753B1">
        <w:t>n</w:t>
      </w:r>
      <w:r w:rsidRPr="00977140">
        <w:t xml:space="preserve"> 86 mm quadrature transmit coil was used for radiofrequency transmission, and a surface receive-only coil was placed over the chest of the animal. </w:t>
      </w:r>
      <w:r w:rsidR="00E51B4B">
        <w:t>The c</w:t>
      </w:r>
      <w:r w:rsidRPr="00977140">
        <w:t xml:space="preserve">ontrast was delivered </w:t>
      </w:r>
      <w:r w:rsidRPr="00E51B4B">
        <w:rPr>
          <w:i/>
          <w:iCs/>
        </w:rPr>
        <w:t>via</w:t>
      </w:r>
      <w:r w:rsidRPr="00977140">
        <w:t xml:space="preserve"> an intraperitoneal injection of 80 μL total volume with 0.5 mmol/ kg Gd-DOTA diluted in warm saline to the right abdominal quadrant. The animal cradle was then positioned in the center of the MRI. Cardiac planning was performed using three-plane cardiac scout images acquired with a non-gated fast gradient echo imaging sequence. Semi-2 chamber (2CH), semi-4 chamber (4CH), and short-axis (SAX) images were then acquired. The 2/4CH images were used to plan the subsequent stack of cine SAX images</w:t>
      </w:r>
      <w:r w:rsidR="000D46AB">
        <w:t>,</w:t>
      </w:r>
      <w:r w:rsidRPr="00977140">
        <w:t xml:space="preserve"> which was acquired ~20 min post</w:t>
      </w:r>
      <w:r w:rsidR="000D46AB">
        <w:t>-</w:t>
      </w:r>
      <w:r w:rsidRPr="00977140">
        <w:t>injection. A self-gated gradient echo sequence in axial orientation was acquired with the following parameters: TE</w:t>
      </w:r>
      <w:r w:rsidR="006346E7">
        <w:t>,</w:t>
      </w:r>
      <w:r w:rsidRPr="00977140">
        <w:t xml:space="preserve"> 2.3 ms, TR</w:t>
      </w:r>
      <w:r w:rsidR="006346E7">
        <w:t>,</w:t>
      </w:r>
      <w:r w:rsidRPr="00977140">
        <w:t xml:space="preserve"> 11.2 ms, flip angle</w:t>
      </w:r>
      <w:r w:rsidR="006346E7">
        <w:t>,</w:t>
      </w:r>
      <w:r w:rsidRPr="00977140">
        <w:t xml:space="preserve"> 14°, matrix</w:t>
      </w:r>
      <w:r w:rsidR="006346E7">
        <w:t xml:space="preserve">, </w:t>
      </w:r>
      <w:r w:rsidRPr="00977140">
        <w:t>150 x 150, FOV</w:t>
      </w:r>
      <w:r w:rsidR="006346E7">
        <w:t>,</w:t>
      </w:r>
      <w:r w:rsidRPr="00977140">
        <w:t xml:space="preserve"> 30 mm x 30 mm, 7</w:t>
      </w:r>
      <w:r w:rsidR="006346E7">
        <w:t>–</w:t>
      </w:r>
      <w:r w:rsidRPr="00977140">
        <w:t xml:space="preserve">8 contiguous slices of 1 mm thickness, oversampling: 200. The total image acquisition time was approximately 45 min. Images were reconstructed using the ParaVision software to 20 </w:t>
      </w:r>
      <w:r w:rsidRPr="00977140">
        <w:lastRenderedPageBreak/>
        <w:t>cardiac frames excluding respiration motion.</w:t>
      </w:r>
    </w:p>
    <w:p w14:paraId="06D192A0" w14:textId="77777777" w:rsidR="00CB211A" w:rsidRPr="00977140" w:rsidRDefault="00CB211A" w:rsidP="00CB211A"/>
    <w:p w14:paraId="30F2A864" w14:textId="3B31AC14" w:rsidR="00CB211A" w:rsidRPr="00977140" w:rsidRDefault="00CB211A" w:rsidP="00CB211A">
      <w:pPr>
        <w:rPr>
          <w:b/>
          <w:bCs/>
        </w:rPr>
      </w:pPr>
      <w:r w:rsidRPr="00977140">
        <w:rPr>
          <w:b/>
          <w:bCs/>
        </w:rPr>
        <w:t xml:space="preserve">Image </w:t>
      </w:r>
      <w:r w:rsidR="0052522B">
        <w:rPr>
          <w:b/>
          <w:bCs/>
        </w:rPr>
        <w:t>a</w:t>
      </w:r>
      <w:r w:rsidRPr="00977140">
        <w:rPr>
          <w:b/>
          <w:bCs/>
        </w:rPr>
        <w:t>nalysis</w:t>
      </w:r>
    </w:p>
    <w:p w14:paraId="6832DADE" w14:textId="42A52597" w:rsidR="00CB211A" w:rsidRPr="00977140" w:rsidRDefault="00CB211A" w:rsidP="00CB211A">
      <w:r w:rsidRPr="00977140">
        <w:t>MRI data were analyzed by a single investigator in a random order. Bias field correction was performed using a custom MATLAB</w:t>
      </w:r>
      <w:r w:rsidRPr="0052522B">
        <w:rPr>
          <w:vertAlign w:val="superscript"/>
        </w:rPr>
        <w:t>2</w:t>
      </w:r>
      <w:r w:rsidRPr="00977140">
        <w:t xml:space="preserve"> script based on code available at </w:t>
      </w:r>
      <w:r w:rsidR="007F3796" w:rsidRPr="00977140">
        <w:t>Chunming</w:t>
      </w:r>
      <w:r w:rsidR="007F3796">
        <w:t xml:space="preserve"> et al.</w:t>
      </w:r>
      <w:r w:rsidR="007F3796" w:rsidRPr="007F3796">
        <w:rPr>
          <w:vertAlign w:val="superscript"/>
        </w:rPr>
        <w:t>3</w:t>
      </w:r>
      <w:r w:rsidRPr="00977140">
        <w:t>. Next, endocardial and epicardial borders of the left ventricle in end</w:t>
      </w:r>
      <w:r w:rsidR="007F3796">
        <w:t>-</w:t>
      </w:r>
      <w:r w:rsidRPr="00977140">
        <w:t>diastole were delineated using Segment v4.0</w:t>
      </w:r>
      <w:r w:rsidRPr="00AC3F8B">
        <w:rPr>
          <w:vertAlign w:val="superscript"/>
        </w:rPr>
        <w:t>4</w:t>
      </w:r>
      <w:r w:rsidRPr="00977140">
        <w:t>. Area at risk (AAR) region of interest (ROI) was quantified in 3 apical slices (excluding the apex itself) using a threshold-based approach of raw myocardial signal intensity (SI). Manual ROIs were drawn in the septal area to represent the viable myocardium. The software then delineated the AAR from the remaining part of the myocardium where signal intensities exceeded the threshold of 2 standard deviation</w:t>
      </w:r>
      <w:r w:rsidR="00AC3F8B">
        <w:t>s</w:t>
      </w:r>
      <w:r w:rsidRPr="00977140">
        <w:t xml:space="preserve"> (SD) from viable ROI.</w:t>
      </w:r>
    </w:p>
    <w:p w14:paraId="02036EFD" w14:textId="77777777" w:rsidR="00CB211A" w:rsidRPr="00977140" w:rsidRDefault="00CB211A" w:rsidP="00CB211A">
      <m:oMathPara>
        <m:oMath>
          <m:r>
            <w:rPr>
              <w:rFonts w:ascii="Cambria Math" w:hAnsi="Cambria Math"/>
            </w:rPr>
            <m:t>Area At Risk=</m:t>
          </m:r>
          <m:nary>
            <m:naryPr>
              <m:chr m:val="∑"/>
              <m:limLoc m:val="undOvr"/>
              <m:grow m:val="1"/>
              <m:subHide m:val="1"/>
              <m:ctrlPr>
                <w:rPr>
                  <w:rFonts w:ascii="Cambria Math" w:hAnsi="Cambria Math"/>
                  <w:i/>
                </w:rPr>
              </m:ctrlPr>
            </m:naryPr>
            <m:sub/>
            <m:sup>
              <m:r>
                <w:rPr>
                  <w:rFonts w:ascii="Cambria Math" w:hAnsi="Cambria Math"/>
                </w:rPr>
                <m:t>slices</m:t>
              </m:r>
            </m:sup>
            <m:e>
              <m:f>
                <m:fPr>
                  <m:ctrlPr>
                    <w:rPr>
                      <w:rFonts w:ascii="Cambria Math" w:hAnsi="Cambria Math"/>
                      <w:i/>
                    </w:rPr>
                  </m:ctrlPr>
                </m:fPr>
                <m:num>
                  <m:r>
                    <w:rPr>
                      <w:rFonts w:ascii="Cambria Math" w:hAnsi="Cambria Math"/>
                    </w:rPr>
                    <m:t>N pixel (SI&gt;2SD)</m:t>
                  </m:r>
                </m:num>
                <m:den>
                  <m:r>
                    <w:rPr>
                      <w:rFonts w:ascii="Cambria Math" w:hAnsi="Cambria Math"/>
                    </w:rPr>
                    <m:t>N pixel myocardium</m:t>
                  </m:r>
                </m:den>
              </m:f>
            </m:e>
          </m:nary>
          <m:r>
            <w:rPr>
              <w:rFonts w:ascii="Cambria Math" w:hAnsi="Cambria Math"/>
            </w:rPr>
            <m:t>*100%</m:t>
          </m:r>
        </m:oMath>
      </m:oMathPara>
    </w:p>
    <w:p w14:paraId="58C58872" w14:textId="77777777" w:rsidR="00CB211A" w:rsidRPr="00977140" w:rsidRDefault="00CB211A" w:rsidP="00CB211A"/>
    <w:p w14:paraId="2DB42F3A" w14:textId="6E447A28" w:rsidR="00CB211A" w:rsidRPr="00977140" w:rsidRDefault="00CB211A" w:rsidP="00CB211A">
      <w:pPr>
        <w:rPr>
          <w:b/>
          <w:bCs/>
        </w:rPr>
      </w:pPr>
      <w:r w:rsidRPr="00977140">
        <w:rPr>
          <w:b/>
          <w:bCs/>
        </w:rPr>
        <w:t>References</w:t>
      </w:r>
    </w:p>
    <w:p w14:paraId="7484A014" w14:textId="1B3FF134" w:rsidR="00CB211A" w:rsidRPr="00977140" w:rsidRDefault="00CB211A" w:rsidP="00CB211A">
      <w:pPr>
        <w:widowControl/>
        <w:rPr>
          <w:rFonts w:eastAsia="Times New Roman"/>
        </w:rPr>
      </w:pPr>
      <w:r w:rsidRPr="00977140">
        <w:t xml:space="preserve">1. </w:t>
      </w:r>
      <w:r w:rsidRPr="00977140">
        <w:rPr>
          <w:rFonts w:eastAsia="Times New Roman"/>
        </w:rPr>
        <w:t>Oosterlinck, W</w:t>
      </w:r>
      <w:r w:rsidRPr="00143B34">
        <w:rPr>
          <w:rFonts w:eastAsia="Times New Roman"/>
          <w:i/>
          <w:iCs/>
        </w:rPr>
        <w:t>. et al</w:t>
      </w:r>
      <w:r w:rsidRPr="00977140">
        <w:rPr>
          <w:rFonts w:eastAsia="Times New Roman"/>
          <w:i/>
          <w:iCs/>
        </w:rPr>
        <w:t>.</w:t>
      </w:r>
      <w:r w:rsidRPr="00977140">
        <w:rPr>
          <w:rFonts w:eastAsia="Times New Roman"/>
        </w:rPr>
        <w:t xml:space="preserve"> Diabetes mellitus and the metabolic syndrome do not abolish, but might reduce, the cardioprotective effect of ischemic postconditioning. </w:t>
      </w:r>
      <w:r w:rsidRPr="00977140">
        <w:rPr>
          <w:rFonts w:eastAsia="Times New Roman"/>
          <w:i/>
          <w:iCs/>
        </w:rPr>
        <w:t>J Thorac Cardiovasc Surg.</w:t>
      </w:r>
      <w:r w:rsidRPr="00977140">
        <w:rPr>
          <w:rFonts w:eastAsia="Times New Roman"/>
        </w:rPr>
        <w:t xml:space="preserve"> </w:t>
      </w:r>
      <w:r w:rsidRPr="00977140">
        <w:rPr>
          <w:rFonts w:eastAsia="Times New Roman"/>
          <w:b/>
          <w:bCs/>
        </w:rPr>
        <w:t>145</w:t>
      </w:r>
      <w:r w:rsidRPr="00977140">
        <w:rPr>
          <w:rFonts w:eastAsia="Times New Roman"/>
        </w:rPr>
        <w:t xml:space="preserve"> (6), 1595–1602 (2013).</w:t>
      </w:r>
    </w:p>
    <w:p w14:paraId="1EFE2191" w14:textId="61DFD5FB" w:rsidR="00CB211A" w:rsidRPr="00977140" w:rsidRDefault="00CB211A" w:rsidP="00CB211A">
      <w:r w:rsidRPr="00977140">
        <w:t>2. The MathWorks Inc. MATLAB version: 9.10.0.1739362 (R2021a) Update 5, Natick, Massachusetts: The MathWorks Inc. https://www.mathworks.com</w:t>
      </w:r>
      <w:r w:rsidR="00143B34">
        <w:t>.</w:t>
      </w:r>
    </w:p>
    <w:p w14:paraId="165A8CB9" w14:textId="2E5C39CF" w:rsidR="00CB211A" w:rsidRPr="00977140" w:rsidRDefault="00CB211A" w:rsidP="00CB211A">
      <w:r w:rsidRPr="00977140">
        <w:t>3. Chunming</w:t>
      </w:r>
      <w:r w:rsidR="00143B34">
        <w:t>,</w:t>
      </w:r>
      <w:r w:rsidRPr="00977140">
        <w:t xml:space="preserve"> Li. MRI segmentation and bias field correction (https://www.mathworks.com/matlabcentral/fileexchange/59752-mri-segmentation-and-bias-field-correction), MATLAB Central File Exchange.</w:t>
      </w:r>
    </w:p>
    <w:p w14:paraId="1A28461E" w14:textId="23227385" w:rsidR="006A59A1" w:rsidRPr="00977140" w:rsidRDefault="00CB211A" w:rsidP="00CB211A">
      <w:pPr>
        <w:widowControl/>
        <w:rPr>
          <w:rFonts w:eastAsia="Times New Roman"/>
        </w:rPr>
      </w:pPr>
      <w:r w:rsidRPr="00977140">
        <w:t xml:space="preserve">4. </w:t>
      </w:r>
      <w:r w:rsidRPr="00977140">
        <w:rPr>
          <w:rFonts w:eastAsia="Times New Roman"/>
        </w:rPr>
        <w:t xml:space="preserve">Heiberg, E. et al. Design and validation of Segment - freely available software for cardiovascular image analysis. </w:t>
      </w:r>
      <w:r w:rsidRPr="00977140">
        <w:rPr>
          <w:rFonts w:eastAsia="Times New Roman"/>
          <w:i/>
          <w:iCs/>
        </w:rPr>
        <w:t>BMC Med. Imaging</w:t>
      </w:r>
      <w:r w:rsidRPr="00977140">
        <w:rPr>
          <w:rFonts w:eastAsia="Times New Roman"/>
        </w:rPr>
        <w:t xml:space="preserve">. </w:t>
      </w:r>
      <w:r w:rsidRPr="00977140">
        <w:rPr>
          <w:rFonts w:eastAsia="Times New Roman"/>
          <w:b/>
          <w:bCs/>
        </w:rPr>
        <w:t>10</w:t>
      </w:r>
      <w:r w:rsidRPr="00977140">
        <w:rPr>
          <w:rFonts w:eastAsia="Times New Roman"/>
        </w:rPr>
        <w:t xml:space="preserve"> (1), 1 (2010).</w:t>
      </w:r>
    </w:p>
    <w:sectPr w:rsidR="006A59A1" w:rsidRPr="00977140" w:rsidSect="00977140">
      <w:headerReference w:type="even" r:id="rId7"/>
      <w:headerReference w:type="default" r:id="rId8"/>
      <w:footerReference w:type="even" r:id="rId9"/>
      <w:headerReference w:type="first" r:id="rId10"/>
      <w:pgSz w:w="12240" w:h="15840" w:code="1"/>
      <w:pgMar w:top="1440" w:right="1440" w:bottom="1440" w:left="1440" w:header="720" w:footer="60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E84E1" w14:textId="77777777" w:rsidR="00055AC9" w:rsidRDefault="00055AC9">
      <w:r>
        <w:separator/>
      </w:r>
    </w:p>
  </w:endnote>
  <w:endnote w:type="continuationSeparator" w:id="0">
    <w:p w14:paraId="1A057AAA" w14:textId="77777777" w:rsidR="00055AC9" w:rsidRDefault="0005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05DE6" w14:textId="77777777" w:rsidR="00CB211A" w:rsidRPr="00AA1825" w:rsidRDefault="00CB211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038F5" w14:textId="77777777" w:rsidR="00055AC9" w:rsidRDefault="00055AC9">
      <w:r>
        <w:separator/>
      </w:r>
    </w:p>
  </w:footnote>
  <w:footnote w:type="continuationSeparator" w:id="0">
    <w:p w14:paraId="5147AAC0" w14:textId="77777777" w:rsidR="00055AC9" w:rsidRDefault="0005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2633" w14:textId="77777777" w:rsidR="00CB211A" w:rsidRPr="00AA1825" w:rsidRDefault="00CB211A">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8E232" w14:textId="77777777" w:rsidR="00CB211A" w:rsidRPr="00AA1825" w:rsidRDefault="00CB211A">
    <w:pPr>
      <w:pBdr>
        <w:top w:val="nil"/>
        <w:left w:val="nil"/>
        <w:bottom w:val="nil"/>
        <w:right w:val="nil"/>
        <w:between w:val="nil"/>
      </w:pBdr>
      <w:tabs>
        <w:tab w:val="center" w:pos="4680"/>
        <w:tab w:val="right" w:pos="9360"/>
        <w:tab w:val="left" w:pos="5724"/>
      </w:tabs>
      <w:rPr>
        <w:b/>
        <w:color w:val="1F497D"/>
        <w:sz w:val="28"/>
        <w:szCs w:val="28"/>
      </w:rPr>
    </w:pPr>
    <w:r w:rsidRPr="00AA1825">
      <w:rPr>
        <w:color w:val="000000"/>
        <w:sz w:val="22"/>
        <w:szCs w:val="22"/>
      </w:rPr>
      <w:tab/>
    </w:r>
    <w:r w:rsidRPr="00AA1825">
      <w:rPr>
        <w:color w:val="000000"/>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503DA" w14:textId="77777777" w:rsidR="00CB211A" w:rsidRPr="00AA1825" w:rsidRDefault="00CB211A">
    <w:pPr>
      <w:pBdr>
        <w:top w:val="nil"/>
        <w:left w:val="nil"/>
        <w:bottom w:val="nil"/>
        <w:right w:val="nil"/>
        <w:between w:val="nil"/>
      </w:pBdr>
      <w:tabs>
        <w:tab w:val="center" w:pos="4680"/>
        <w:tab w:val="right" w:pos="9360"/>
      </w:tabs>
      <w:jc w:val="right"/>
      <w:rPr>
        <w:b/>
        <w:color w:val="1F497D"/>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0NTG3MDA2NLU0sDRQ0lEKTi0uzszPAykwrAUAEeg8LiwAAAA="/>
  </w:docVars>
  <w:rsids>
    <w:rsidRoot w:val="00CB211A"/>
    <w:rsid w:val="00055AC9"/>
    <w:rsid w:val="000D46AB"/>
    <w:rsid w:val="001371B0"/>
    <w:rsid w:val="00143B34"/>
    <w:rsid w:val="00186D99"/>
    <w:rsid w:val="002220F2"/>
    <w:rsid w:val="0022353F"/>
    <w:rsid w:val="00254683"/>
    <w:rsid w:val="002D34F8"/>
    <w:rsid w:val="003664CE"/>
    <w:rsid w:val="003753B1"/>
    <w:rsid w:val="003F64CC"/>
    <w:rsid w:val="004366AA"/>
    <w:rsid w:val="0052522B"/>
    <w:rsid w:val="00562DAC"/>
    <w:rsid w:val="005677AF"/>
    <w:rsid w:val="006346E7"/>
    <w:rsid w:val="00695AE5"/>
    <w:rsid w:val="006A59A1"/>
    <w:rsid w:val="007F3796"/>
    <w:rsid w:val="00824F98"/>
    <w:rsid w:val="008906AB"/>
    <w:rsid w:val="00977140"/>
    <w:rsid w:val="00AC3F8B"/>
    <w:rsid w:val="00B422CB"/>
    <w:rsid w:val="00CB211A"/>
    <w:rsid w:val="00CE0C43"/>
    <w:rsid w:val="00E33053"/>
    <w:rsid w:val="00E51B4B"/>
    <w:rsid w:val="00F06D0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AFB66"/>
  <w15:chartTrackingRefBased/>
  <w15:docId w15:val="{1E51BB31-6F1F-434F-9091-91CAC2C6C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1A"/>
    <w:pPr>
      <w:widowControl w:val="0"/>
      <w:spacing w:after="0" w:line="240" w:lineRule="auto"/>
      <w:jc w:val="both"/>
    </w:pPr>
    <w:rPr>
      <w:rFonts w:ascii="Calibri" w:eastAsia="Calibri" w:hAnsi="Calibri" w:cs="Calibri"/>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B211A"/>
    <w:rPr>
      <w:sz w:val="16"/>
      <w:szCs w:val="16"/>
    </w:rPr>
  </w:style>
  <w:style w:type="paragraph" w:styleId="CommentText">
    <w:name w:val="annotation text"/>
    <w:basedOn w:val="Normal"/>
    <w:link w:val="CommentTextChar"/>
    <w:uiPriority w:val="99"/>
    <w:unhideWhenUsed/>
    <w:rsid w:val="00CB211A"/>
    <w:rPr>
      <w:sz w:val="20"/>
      <w:szCs w:val="20"/>
    </w:rPr>
  </w:style>
  <w:style w:type="character" w:customStyle="1" w:styleId="CommentTextChar">
    <w:name w:val="Comment Text Char"/>
    <w:basedOn w:val="DefaultParagraphFont"/>
    <w:link w:val="CommentText"/>
    <w:uiPriority w:val="99"/>
    <w:rsid w:val="00CB211A"/>
    <w:rPr>
      <w:rFonts w:ascii="Calibri" w:eastAsia="Calibri" w:hAnsi="Calibri" w:cs="Calibri"/>
      <w:kern w:val="0"/>
      <w:sz w:val="20"/>
      <w:szCs w:val="20"/>
      <w:lang w:val="en-US"/>
      <w14:ligatures w14:val="none"/>
    </w:rPr>
  </w:style>
  <w:style w:type="character" w:styleId="LineNumber">
    <w:name w:val="line number"/>
    <w:basedOn w:val="DefaultParagraphFont"/>
    <w:uiPriority w:val="99"/>
    <w:semiHidden/>
    <w:unhideWhenUsed/>
    <w:rsid w:val="00CB211A"/>
  </w:style>
  <w:style w:type="paragraph" w:styleId="CommentSubject">
    <w:name w:val="annotation subject"/>
    <w:basedOn w:val="CommentText"/>
    <w:next w:val="CommentText"/>
    <w:link w:val="CommentSubjectChar"/>
    <w:uiPriority w:val="99"/>
    <w:semiHidden/>
    <w:unhideWhenUsed/>
    <w:rsid w:val="00CB211A"/>
    <w:rPr>
      <w:b/>
      <w:bCs/>
    </w:rPr>
  </w:style>
  <w:style w:type="character" w:customStyle="1" w:styleId="CommentSubjectChar">
    <w:name w:val="Comment Subject Char"/>
    <w:basedOn w:val="CommentTextChar"/>
    <w:link w:val="CommentSubject"/>
    <w:uiPriority w:val="99"/>
    <w:semiHidden/>
    <w:rsid w:val="00CB211A"/>
    <w:rPr>
      <w:rFonts w:ascii="Calibri" w:eastAsia="Calibri" w:hAnsi="Calibri" w:cs="Calibri"/>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8D28F-3078-4C71-AC05-321FC7CD2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732</Words>
  <Characters>4174</Characters>
  <Application>Microsoft Office Word</Application>
  <DocSecurity>0</DocSecurity>
  <Lines>34</Lines>
  <Paragraphs>9</Paragraphs>
  <ScaleCrop>false</ScaleCrop>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Michiel Algoet</dc:creator>
  <cp:keywords/>
  <dc:description/>
  <cp:lastModifiedBy>Nilanjana Das</cp:lastModifiedBy>
  <cp:revision>30</cp:revision>
  <dcterms:created xsi:type="dcterms:W3CDTF">2024-01-31T03:31:00Z</dcterms:created>
  <dcterms:modified xsi:type="dcterms:W3CDTF">2024-01-31T07:56:00Z</dcterms:modified>
</cp:coreProperties>
</file>